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13AD" w:rsidRDefault="004113AD">
      <w:pPr>
        <w:jc w:val="right"/>
        <w:rPr>
          <w:i/>
          <w:iCs/>
        </w:rPr>
      </w:pPr>
    </w:p>
    <w:p w:rsidR="004113AD" w:rsidRDefault="000C68DB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учреждение науки</w:t>
      </w:r>
    </w:p>
    <w:p w:rsidR="004113AD" w:rsidRDefault="004113AD">
      <w:pPr>
        <w:jc w:val="center"/>
        <w:rPr>
          <w:b/>
          <w:bCs/>
        </w:rPr>
      </w:pPr>
    </w:p>
    <w:p w:rsidR="004113AD" w:rsidRDefault="000C68DB">
      <w:pPr>
        <w:jc w:val="center"/>
        <w:rPr>
          <w:b/>
          <w:bCs/>
        </w:rPr>
      </w:pPr>
      <w:r>
        <w:rPr>
          <w:b/>
          <w:bCs/>
        </w:rPr>
        <w:t xml:space="preserve">Музей антропологии и этнографии им. Петра Великого (Кунсткамера) РАН </w:t>
      </w: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0C68DB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4113AD" w:rsidRDefault="000C68DB">
      <w:pPr>
        <w:jc w:val="center"/>
        <w:rPr>
          <w:b/>
          <w:bCs/>
        </w:rPr>
      </w:pPr>
      <w:r>
        <w:rPr>
          <w:b/>
          <w:bCs/>
        </w:rPr>
        <w:t>Григорьева Григорий Геннадьевича</w:t>
      </w:r>
    </w:p>
    <w:p w:rsidR="004113AD" w:rsidRDefault="000C68DB">
      <w:pPr>
        <w:jc w:val="center"/>
        <w:rPr>
          <w:b/>
          <w:bCs/>
        </w:rPr>
      </w:pPr>
      <w:r>
        <w:rPr>
          <w:b/>
          <w:bCs/>
        </w:rPr>
        <w:t xml:space="preserve">о работе </w:t>
      </w:r>
    </w:p>
    <w:p w:rsidR="004113AD" w:rsidRDefault="000C68DB">
      <w:pPr>
        <w:jc w:val="center"/>
        <w:rPr>
          <w:b/>
          <w:bCs/>
        </w:rPr>
      </w:pPr>
      <w:r>
        <w:rPr>
          <w:b/>
          <w:bCs/>
        </w:rPr>
        <w:t xml:space="preserve">в 2017-2018 учебном году </w:t>
      </w: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4113AD" w:rsidRDefault="004113AD">
      <w:pPr>
        <w:jc w:val="center"/>
        <w:rPr>
          <w:b/>
          <w:bCs/>
        </w:rPr>
      </w:pPr>
    </w:p>
    <w:p w:rsidR="00183C08" w:rsidRDefault="00183C0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3C08" w:rsidRDefault="00183C0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3C08" w:rsidRDefault="00183C0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78C" w:rsidRDefault="0072478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78C" w:rsidRDefault="0072478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78C" w:rsidRDefault="0072478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78C" w:rsidRDefault="0072478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Тема диссертации</w:t>
      </w: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Образы дагестанских героев Гражданской войны (1917-1922) на Северном Кавказе и механизмы конструирования этнических, </w:t>
      </w:r>
      <w:proofErr w:type="spellStart"/>
      <w:r>
        <w:rPr>
          <w:rFonts w:ascii="Times New Roman" w:hAnsi="Times New Roman"/>
          <w:sz w:val="24"/>
          <w:szCs w:val="24"/>
        </w:rPr>
        <w:t>социополитических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религиозных идентичностей в современном Дагестане</w:t>
      </w: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Полевая работа проводится в Республике Дагестан, в сёлах Акуша, </w:t>
      </w:r>
      <w:proofErr w:type="spellStart"/>
      <w:r>
        <w:rPr>
          <w:rFonts w:ascii="Times New Roman" w:hAnsi="Times New Roman"/>
          <w:sz w:val="24"/>
          <w:szCs w:val="24"/>
        </w:rPr>
        <w:t>Гоцатль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Гоцо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Салта</w:t>
      </w:r>
      <w:proofErr w:type="spellEnd"/>
      <w:r>
        <w:rPr>
          <w:rFonts w:ascii="Times New Roman" w:hAnsi="Times New Roman"/>
          <w:sz w:val="24"/>
          <w:szCs w:val="24"/>
        </w:rPr>
        <w:t xml:space="preserve">, г. Махачкала и г. Дербент. Источники: </w:t>
      </w:r>
      <w:proofErr w:type="gramStart"/>
      <w:r>
        <w:rPr>
          <w:rFonts w:ascii="Times New Roman" w:hAnsi="Times New Roman"/>
          <w:sz w:val="24"/>
          <w:szCs w:val="24"/>
        </w:rPr>
        <w:t>тексты и 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связанные с </w:t>
      </w:r>
      <w:proofErr w:type="spellStart"/>
      <w:r>
        <w:rPr>
          <w:rFonts w:ascii="Times New Roman" w:hAnsi="Times New Roman"/>
          <w:sz w:val="24"/>
          <w:szCs w:val="24"/>
        </w:rPr>
        <w:t>коммеморацией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трёх дагестанских деятелей времён Гражданской Войны (устные нарративы, музейные экспозиции, культурные мероприятия и мемориальные практики, локальная академическая, художественная и публицистическая литература). Кроме того, часть необходимых материалов будет находиться в государственных архивах г. Махачкалы. Основной метод сбора материала </w:t>
      </w:r>
      <w:proofErr w:type="spellStart"/>
      <w:r>
        <w:rPr>
          <w:rFonts w:ascii="Times New Roman" w:hAnsi="Times New Roman"/>
          <w:sz w:val="24"/>
          <w:szCs w:val="24"/>
        </w:rPr>
        <w:t>полуструктурированные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(в отдельных случаях биографические) интервью. Во время участия в культурных мероприятиях или работы в музее будет применён метод включённого наблюдения.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Исследовательские вопросы</w:t>
      </w: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функции могут выполнять нарративы об Али-Гаджи </w:t>
      </w:r>
      <w:proofErr w:type="spellStart"/>
      <w:r>
        <w:rPr>
          <w:rFonts w:ascii="Times New Roman" w:hAnsi="Times New Roman"/>
          <w:sz w:val="24"/>
          <w:szCs w:val="24"/>
        </w:rPr>
        <w:t>Акушинском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Нажмудине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Гоцинском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и Узуне-Гаджи </w:t>
      </w:r>
      <w:proofErr w:type="spellStart"/>
      <w:r>
        <w:rPr>
          <w:rFonts w:ascii="Times New Roman" w:hAnsi="Times New Roman"/>
          <w:sz w:val="24"/>
          <w:szCs w:val="24"/>
        </w:rPr>
        <w:t>Салтинском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в формировании идентичностей дагестанских сообществ (жителей Акуша, </w:t>
      </w:r>
      <w:proofErr w:type="spellStart"/>
      <w:r>
        <w:rPr>
          <w:rFonts w:ascii="Times New Roman" w:hAnsi="Times New Roman"/>
          <w:sz w:val="24"/>
          <w:szCs w:val="24"/>
        </w:rPr>
        <w:t>Салта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Гоцо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Гоцатль</w:t>
      </w:r>
      <w:proofErr w:type="spellEnd"/>
      <w:r>
        <w:rPr>
          <w:rFonts w:ascii="Times New Roman" w:hAnsi="Times New Roman"/>
          <w:sz w:val="24"/>
          <w:szCs w:val="24"/>
        </w:rPr>
        <w:t xml:space="preserve">, даргинцев, аварцев)? 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каких отношениях находятся разные типы текстов о дагестанских героях Гражданской Войны? Например, как функционируют каналы связи между музейными экспозициями и устными нарративами, школьными уроками истории и академической литературой местных исследователей?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Могут ли исторические нарративы об Али-Гаджи </w:t>
      </w:r>
      <w:proofErr w:type="spellStart"/>
      <w:r>
        <w:rPr>
          <w:rFonts w:ascii="Times New Roman" w:hAnsi="Times New Roman"/>
          <w:sz w:val="24"/>
          <w:szCs w:val="24"/>
        </w:rPr>
        <w:t>Акушинском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Нажмудине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Гоцинском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и Узуне-Гаджи создавать этнические, культурные, социальные и другие границы между сообществами? Могут ли те же нарративы служить преодолению различных границ? Какие социальные группы будут заинтересованы в создании/преодолению границ?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каких отношениях находятся исторические нарративы о героях прошлого и современные нарративы самоидентификации? Например, каковы типологические сходства и различия между нарративами об Али-Гаджи </w:t>
      </w:r>
      <w:proofErr w:type="spellStart"/>
      <w:r>
        <w:rPr>
          <w:rFonts w:ascii="Times New Roman" w:hAnsi="Times New Roman"/>
          <w:sz w:val="24"/>
          <w:szCs w:val="24"/>
        </w:rPr>
        <w:t>Акушинском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Нажмудине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Гоцинском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? Каковы типологические сходства и различия между нарративами самоидентификации у жителей с. Акуша и жителей с. </w:t>
      </w:r>
      <w:proofErr w:type="spellStart"/>
      <w:r>
        <w:rPr>
          <w:rFonts w:ascii="Times New Roman" w:hAnsi="Times New Roman"/>
          <w:sz w:val="24"/>
          <w:szCs w:val="24"/>
        </w:rPr>
        <w:t>Гоцатль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Объект исследования – жители республики Дагестан и Чеченской республики, принимающие участие в </w:t>
      </w:r>
      <w:proofErr w:type="spellStart"/>
      <w:r>
        <w:rPr>
          <w:rFonts w:ascii="Times New Roman" w:hAnsi="Times New Roman"/>
          <w:sz w:val="24"/>
          <w:szCs w:val="24"/>
        </w:rPr>
        <w:t>комемморационных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практиках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связанных с исторической памятью о Гражданской войне (1917–1922), предмет исследования – продукты </w:t>
      </w:r>
      <w:proofErr w:type="spellStart"/>
      <w:r>
        <w:rPr>
          <w:rFonts w:ascii="Times New Roman" w:hAnsi="Times New Roman"/>
          <w:sz w:val="24"/>
          <w:szCs w:val="24"/>
        </w:rPr>
        <w:t>комемморационных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 о Гражданской войне: устные нарративы, публицистические и научные статьи, мемориальные комплексы и мероприятия. 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 диссертации</w:t>
      </w: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данный момент написана теоретическая глава “Коллективная память: история изучения и проблемы </w:t>
      </w:r>
      <w:proofErr w:type="spellStart"/>
      <w:r>
        <w:rPr>
          <w:rFonts w:ascii="Times New Roman" w:hAnsi="Times New Roman"/>
          <w:sz w:val="24"/>
          <w:szCs w:val="24"/>
        </w:rPr>
        <w:t>методологиии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выбора теории</w:t>
      </w: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>Главная задача этой главы заключается в том, чтобы продемонстрировать историю развития, характер и специфику методологических инструментов, которые используются при изучении коллективной памяти, с тем чтобы, применяя эти инструменты в последующих главах доказать уместность и продуктивность выбранной теоретической рамки при её наложении на предметное поле исследования.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proofErr w:type="gramStart"/>
      <w:r>
        <w:rPr>
          <w:rFonts w:ascii="Times New Roman" w:hAnsi="Times New Roman"/>
          <w:color w:val="454545"/>
          <w:sz w:val="24"/>
          <w:szCs w:val="24"/>
          <w:u w:color="454545"/>
        </w:rPr>
        <w:t>Центральная аксиома теории коллективной памяти это</w:t>
      </w:r>
      <w:proofErr w:type="gramEnd"/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постулирование существовании форм памяти, которые локализуются в сообществах или в специальных “местах”, а не в психике отдельно взятых людей. Эта аксиома, очевидно, проблематична, и постоянно подвергается критике (</w:t>
      </w:r>
      <w:proofErr w:type="spellStart"/>
      <w:r>
        <w:rPr>
          <w:rFonts w:ascii="Times New Roman" w:hAnsi="Times New Roman"/>
          <w:color w:val="454545"/>
          <w:sz w:val="24"/>
          <w:szCs w:val="24"/>
          <w:u w:color="454545"/>
          <w:lang w:val="en-US"/>
        </w:rPr>
        <w:t>Leichter</w:t>
      </w:r>
      <w:proofErr w:type="spellEnd"/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2012: 115). В рамках данной работы я могу предложить несколько ответов на критику теории коллективной памяти: 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1. Коль скоро многие сообщества современности (в том числе жители республики Дагестан), попадающие в фокус исследователя, активно обсуждают свою собственную “коллективную память”, следует признать, что дело уже сделано – и даже если “коллективной памяти” ранее не существовало, то теперь, благодаря усилиям исследователей, перенёсших эту “заразу” в поле, “коллективная память”, (как когда-то и “идентичность”) стала объективной реальностью, которая живёт и развивается за пределами теоретических построений учёных. 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2. Кроме того, можно оттолкнуться от “Теоремы Томаса”, согласно которой, если люди считают ситуацию реальной, значит, она будет реальна в своих последствиях. Важно не то, что является реальностью, но то, как </w:t>
      </w:r>
      <w:proofErr w:type="spellStart"/>
      <w:r>
        <w:rPr>
          <w:rFonts w:ascii="Times New Roman" w:hAnsi="Times New Roman"/>
          <w:color w:val="454545"/>
          <w:sz w:val="24"/>
          <w:szCs w:val="24"/>
          <w:u w:color="454545"/>
        </w:rPr>
        <w:t>акторы</w:t>
      </w:r>
      <w:proofErr w:type="spellEnd"/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сами видят и понимают ее, потому что они будут действовать согласно своему видению и их действия производят реальные следствия. 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lastRenderedPageBreak/>
        <w:t xml:space="preserve">В схожем ключе пишет </w:t>
      </w:r>
      <w:proofErr w:type="spellStart"/>
      <w:r>
        <w:rPr>
          <w:rFonts w:ascii="Times New Roman" w:hAnsi="Times New Roman"/>
          <w:color w:val="454545"/>
          <w:sz w:val="24"/>
          <w:szCs w:val="24"/>
          <w:u w:color="454545"/>
        </w:rPr>
        <w:t>Аллейда</w:t>
      </w:r>
      <w:proofErr w:type="spellEnd"/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</w:t>
      </w:r>
      <w:proofErr w:type="spellStart"/>
      <w:r>
        <w:rPr>
          <w:rFonts w:ascii="Times New Roman" w:hAnsi="Times New Roman"/>
          <w:color w:val="454545"/>
          <w:sz w:val="24"/>
          <w:szCs w:val="24"/>
          <w:u w:color="454545"/>
        </w:rPr>
        <w:t>Ассманн</w:t>
      </w:r>
      <w:proofErr w:type="spellEnd"/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. Она полагает, что даже миф реален, если его помнят и празднуют, так как важен не сам миф, а его нормативная и </w:t>
      </w:r>
      <w:proofErr w:type="spellStart"/>
      <w:r>
        <w:rPr>
          <w:rFonts w:ascii="Times New Roman" w:hAnsi="Times New Roman"/>
          <w:color w:val="454545"/>
          <w:sz w:val="24"/>
          <w:szCs w:val="24"/>
          <w:u w:color="454545"/>
        </w:rPr>
        <w:t>формативная</w:t>
      </w:r>
      <w:proofErr w:type="spellEnd"/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сила (</w:t>
      </w:r>
      <w:proofErr w:type="spellStart"/>
      <w:r>
        <w:rPr>
          <w:rFonts w:ascii="Times New Roman" w:hAnsi="Times New Roman"/>
          <w:color w:val="454545"/>
          <w:sz w:val="24"/>
          <w:szCs w:val="24"/>
          <w:u w:color="454545"/>
          <w:lang w:val="en-US"/>
        </w:rPr>
        <w:t>Assmann</w:t>
      </w:r>
      <w:proofErr w:type="spellEnd"/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2010: 35-50; </w:t>
      </w:r>
      <w:proofErr w:type="spellStart"/>
      <w:r>
        <w:rPr>
          <w:rFonts w:ascii="Times New Roman" w:hAnsi="Times New Roman"/>
          <w:color w:val="454545"/>
          <w:sz w:val="24"/>
          <w:szCs w:val="24"/>
          <w:u w:color="454545"/>
          <w:lang w:val="en-US"/>
        </w:rPr>
        <w:t>Subrt</w:t>
      </w:r>
      <w:proofErr w:type="spellEnd"/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2015: 14-15).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Завершая обоснование выбора теоретической рамки, приведу сильную позицию антрополога </w:t>
      </w:r>
      <w:proofErr w:type="spellStart"/>
      <w:r>
        <w:rPr>
          <w:rFonts w:ascii="Times New Roman" w:hAnsi="Times New Roman"/>
          <w:sz w:val="24"/>
          <w:szCs w:val="24"/>
        </w:rPr>
        <w:t>Карвен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Олвиг</w:t>
      </w:r>
      <w:proofErr w:type="spellEnd"/>
      <w:r>
        <w:rPr>
          <w:rFonts w:ascii="Times New Roman" w:hAnsi="Times New Roman"/>
          <w:sz w:val="24"/>
          <w:szCs w:val="24"/>
        </w:rPr>
        <w:t xml:space="preserve">, описанную в статье Кевина </w:t>
      </w:r>
      <w:proofErr w:type="spellStart"/>
      <w:r>
        <w:rPr>
          <w:rFonts w:ascii="Times New Roman" w:hAnsi="Times New Roman"/>
          <w:sz w:val="24"/>
          <w:szCs w:val="24"/>
        </w:rPr>
        <w:t>Йелвингтона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lang w:val="en-US"/>
        </w:rPr>
        <w:t>History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Memory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Identity</w:t>
      </w:r>
      <w:r>
        <w:rPr>
          <w:rFonts w:ascii="Times New Roman" w:hAnsi="Times New Roman"/>
          <w:sz w:val="24"/>
          <w:szCs w:val="24"/>
        </w:rPr>
        <w:t xml:space="preserve">” (2002), так как она прямо касаются специфики моего исследования. Согласно </w:t>
      </w:r>
      <w:proofErr w:type="spellStart"/>
      <w:r>
        <w:rPr>
          <w:rFonts w:ascii="Times New Roman" w:hAnsi="Times New Roman"/>
          <w:sz w:val="24"/>
          <w:szCs w:val="24"/>
        </w:rPr>
        <w:t>Олвиг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прошлое не является свободным ресурсом, более того, негоциация по поводу того, что прошлым является, а что нет, каждый раз происходит в конкретном историческом контексте. Процесс негоциации регулируется властными системами, которые вольны отбирать одни единицы прошлого, отбрасывая другие. </w:t>
      </w:r>
      <w:proofErr w:type="spellStart"/>
      <w:r>
        <w:rPr>
          <w:rFonts w:ascii="Times New Roman" w:hAnsi="Times New Roman"/>
          <w:sz w:val="24"/>
          <w:szCs w:val="24"/>
        </w:rPr>
        <w:t>Олвиг</w:t>
      </w:r>
      <w:proofErr w:type="spellEnd"/>
      <w:r>
        <w:rPr>
          <w:rFonts w:ascii="Times New Roman" w:hAnsi="Times New Roman"/>
          <w:sz w:val="24"/>
          <w:szCs w:val="24"/>
        </w:rPr>
        <w:t xml:space="preserve"> пишет, что центральной темой антропологического изучения прошлого должно стать, во-первых, обращение к процессам, в рамках которых конкретные концептуализации прошлого становились доминирующими и подавляли другие концептуализации, а во-вторых, то,1 как доминирование одних и отмирание других, коррелирует со специфическими социальными и экономическими отношениями и тем, как эти версии прошлого отвечают на вызовы сообществ и их коллективных идентичностей в настоящем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Yelwington</w:t>
      </w:r>
      <w:proofErr w:type="spellEnd"/>
      <w:r>
        <w:rPr>
          <w:rFonts w:ascii="Times New Roman" w:hAnsi="Times New Roman"/>
          <w:sz w:val="24"/>
          <w:szCs w:val="24"/>
        </w:rPr>
        <w:t xml:space="preserve"> 2002: 229,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Olwig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1999: </w:t>
      </w:r>
      <w:r>
        <w:rPr>
          <w:rFonts w:ascii="Times New Roman" w:hAnsi="Times New Roman"/>
          <w:sz w:val="24"/>
          <w:szCs w:val="24"/>
        </w:rPr>
        <w:t>370-371).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>Применение теоретической рамки “коллективной памяти”, кроме прикладной ценности, обусловлено двумя методологическими задачами, которые проявились ещё на этапе написания магистерской работы: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54545"/>
        </w:rPr>
        <w:t>Первая задача состоит в необходимости провести чёткую линию демаркации между исторической наукой и социальной антропологией, поскольку предметное поле и источники, с которыми я работаю, пересекаются или совпадают с источниками историков. Следовательно, я должен ответить на вопрос – имеются ли в распоряжении у социального антрополога специфические методы, которые позволили бы извлечь из предметного поля, традиционно закрепленного за историками, новые данные, недоступные историческому методу. Вооружившись теоретической рамкой “коллективной памяти”, я попытаюсь доказать, что антропологическая интервенция на территорию исторических источников не только легитимна, но поможет расширить наши знания о современном Дагестане.</w:t>
      </w:r>
    </w:p>
    <w:p w:rsidR="004113AD" w:rsidRDefault="000C68DB"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54545"/>
        </w:rPr>
        <w:t xml:space="preserve">Предмет второй задачи содержится в названии диссертации – в формулировке “формирование идентичностей”. Именно это словосочетание является ключевым </w:t>
      </w:r>
      <w:r>
        <w:rPr>
          <w:rFonts w:ascii="Times New Roman" w:hAnsi="Times New Roman"/>
          <w:sz w:val="24"/>
          <w:szCs w:val="24"/>
          <w:u w:color="454545"/>
        </w:rPr>
        <w:lastRenderedPageBreak/>
        <w:t xml:space="preserve">указанием на антропологический характер работы. Исследования идентичности традиционно ассоциируются с методами социальной антропологии, однако внутри самой дисциплины понятие “идентичность” после многих лет интенсивного употребления значение этого понятия было размыто, а его теоретическая нагрузка терять смысл. Решая проблему дефиниции </w:t>
      </w:r>
      <w:proofErr w:type="gramStart"/>
      <w:r>
        <w:rPr>
          <w:rFonts w:ascii="Times New Roman" w:hAnsi="Times New Roman"/>
          <w:sz w:val="24"/>
          <w:szCs w:val="24"/>
          <w:u w:color="454545"/>
        </w:rPr>
        <w:t>“идентичности”</w:t>
      </w:r>
      <w:proofErr w:type="gramEnd"/>
      <w:r>
        <w:rPr>
          <w:rFonts w:ascii="Times New Roman" w:hAnsi="Times New Roman"/>
          <w:sz w:val="24"/>
          <w:szCs w:val="24"/>
          <w:u w:color="454545"/>
        </w:rPr>
        <w:t xml:space="preserve"> я буду отталкиваться от положения о том, что память сообщества – центральный ресурс, из которого формируется идентичность этого сообщества (Нора 1999: 34). Прояснение того, что значит “формирование идентичностей” через теорию коллективной памяти, позволит мне, укрепить антропологическую составляющую работы.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Итак, использование методов изучения “коллективной памяти” позволит мне решить сразу несколько исследовательских задач теоретического толка: 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proofErr w:type="gramStart"/>
      <w:r>
        <w:rPr>
          <w:rFonts w:ascii="Times New Roman" w:hAnsi="Times New Roman"/>
          <w:color w:val="454545"/>
          <w:sz w:val="24"/>
          <w:szCs w:val="24"/>
          <w:u w:color="454545"/>
        </w:rPr>
        <w:t>а)  ясно</w:t>
      </w:r>
      <w:proofErr w:type="gramEnd"/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обозначить и укрепить дисциплинарную специфику исследования, </w:t>
      </w: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б) продемонстрировать продуктивность антропологического подхода к историческим источникам, </w:t>
      </w: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u w:color="45454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в) прояснить значение проблемного термина </w:t>
      </w:r>
      <w:r>
        <w:rPr>
          <w:rFonts w:ascii="Times New Roman" w:hAnsi="Times New Roman"/>
          <w:i/>
          <w:iCs/>
          <w:color w:val="454545"/>
          <w:sz w:val="24"/>
          <w:szCs w:val="24"/>
          <w:u w:color="454545"/>
        </w:rPr>
        <w:t>идентичность</w:t>
      </w:r>
      <w:r>
        <w:rPr>
          <w:rFonts w:ascii="Times New Roman" w:hAnsi="Times New Roman"/>
          <w:color w:val="454545"/>
          <w:sz w:val="24"/>
          <w:szCs w:val="24"/>
          <w:u w:color="454545"/>
        </w:rPr>
        <w:t xml:space="preserve"> в контексте конкретного исследования и объяснить необходимость его использования,</w:t>
      </w: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u w:color="353535"/>
        </w:rPr>
      </w:pPr>
      <w:r>
        <w:rPr>
          <w:rFonts w:ascii="Times New Roman" w:hAnsi="Times New Roman"/>
          <w:color w:val="454545"/>
          <w:sz w:val="24"/>
          <w:szCs w:val="24"/>
          <w:u w:color="454545"/>
        </w:rPr>
        <w:t>г) повысить содержательную связность текста работы в целом, подчинив другие теоретические выкладки и разнородный корпус источников единой логике.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Кандидатские экзамены</w:t>
      </w: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 2018: сдан экзамен по истории и философии науки (</w:t>
      </w:r>
      <w:r>
        <w:rPr>
          <w:rFonts w:ascii="Times New Roman" w:hAnsi="Times New Roman"/>
          <w:sz w:val="24"/>
          <w:szCs w:val="24"/>
          <w:lang w:val="fr-FR"/>
        </w:rPr>
        <w:t>оценка «</w:t>
      </w:r>
      <w:r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 2018: сдан экзамен </w:t>
      </w:r>
      <w:proofErr w:type="gramStart"/>
      <w:r>
        <w:rPr>
          <w:rFonts w:ascii="Times New Roman" w:hAnsi="Times New Roman"/>
          <w:sz w:val="24"/>
          <w:szCs w:val="24"/>
        </w:rPr>
        <w:t>по иностранному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(английскому) языку (оценка “отлично”) 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Pr="00183C08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</w:t>
      </w: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3C08">
        <w:rPr>
          <w:rFonts w:ascii="Times New Roman" w:hAnsi="Times New Roman"/>
          <w:sz w:val="24"/>
          <w:szCs w:val="24"/>
          <w:lang w:val="en-US"/>
        </w:rPr>
        <w:t>Grigory</w:t>
      </w:r>
      <w:proofErr w:type="spellEnd"/>
      <w:r w:rsidRPr="00183C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83C08">
        <w:rPr>
          <w:rFonts w:ascii="Times New Roman" w:hAnsi="Times New Roman"/>
          <w:sz w:val="24"/>
          <w:szCs w:val="24"/>
          <w:lang w:val="en-US"/>
        </w:rPr>
        <w:t>Grigoryev</w:t>
      </w:r>
      <w:proofErr w:type="spellEnd"/>
      <w:r w:rsidRPr="00183C0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83C08">
        <w:rPr>
          <w:rFonts w:ascii="Times New Roman" w:hAnsi="Times New Roman"/>
          <w:sz w:val="24"/>
          <w:szCs w:val="24"/>
          <w:lang w:val="en-US"/>
        </w:rPr>
        <w:t>Bachal</w:t>
      </w:r>
      <w:proofErr w:type="spellEnd"/>
      <w:r w:rsidRPr="00183C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83C08">
        <w:rPr>
          <w:rFonts w:ascii="Times New Roman" w:hAnsi="Times New Roman"/>
          <w:sz w:val="24"/>
          <w:szCs w:val="24"/>
          <w:lang w:val="en-US"/>
        </w:rPr>
        <w:t>Í</w:t>
      </w:r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Symbolism of St. Patrick</w:t>
      </w:r>
      <w:r w:rsidRPr="00183C08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 xml:space="preserve">s Crosier in Early-Medieval Irish Hagiography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Celtica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Fennica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No. XIV</w:t>
      </w:r>
      <w:r w:rsidRPr="0072478C">
        <w:rPr>
          <w:rFonts w:ascii="Times New Roman" w:hAnsi="Times New Roman"/>
          <w:sz w:val="24"/>
          <w:szCs w:val="24"/>
        </w:rPr>
        <w:t xml:space="preserve"> 2017, 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Pr="0072478C">
        <w:rPr>
          <w:rFonts w:ascii="Times New Roman" w:hAnsi="Times New Roman"/>
          <w:sz w:val="24"/>
          <w:szCs w:val="24"/>
        </w:rPr>
        <w:t>. 73-86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Григорий Григорьев. Конструирование памяти о Гражданской войне (1917–</w:t>
      </w:r>
    </w:p>
    <w:p w:rsidR="004113AD" w:rsidRPr="00183C08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1922) в селе Акуша, Республика Дагестан // Материалы V Международного форума историков-кавказоведов. Южный</w:t>
      </w:r>
      <w:r w:rsidRPr="00183C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</w:t>
      </w:r>
      <w:r w:rsidRPr="00183C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Университет</w:t>
      </w:r>
      <w:r w:rsidRPr="00183C08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Ростов</w:t>
      </w:r>
      <w:r w:rsidRPr="00183C08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на</w:t>
      </w:r>
      <w:r w:rsidRPr="00183C08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Дону</w:t>
      </w:r>
      <w:r w:rsidRPr="00183C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 xml:space="preserve">2017, </w:t>
      </w:r>
      <w:r>
        <w:rPr>
          <w:rFonts w:ascii="Times New Roman" w:hAnsi="Times New Roman"/>
          <w:sz w:val="24"/>
          <w:szCs w:val="24"/>
        </w:rPr>
        <w:t>С</w:t>
      </w:r>
      <w:r w:rsidRPr="00183C08">
        <w:rPr>
          <w:rFonts w:ascii="Times New Roman" w:hAnsi="Times New Roman"/>
          <w:sz w:val="24"/>
          <w:szCs w:val="24"/>
          <w:lang w:val="en-US"/>
        </w:rPr>
        <w:t>. 200-209.</w:t>
      </w:r>
    </w:p>
    <w:p w:rsidR="004113AD" w:rsidRPr="00183C08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13AD" w:rsidRPr="00183C08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Доклады</w:t>
      </w:r>
    </w:p>
    <w:p w:rsidR="004113AD" w:rsidRPr="00183C08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Сентябрь</w:t>
      </w:r>
      <w:r w:rsidRPr="00183C08">
        <w:rPr>
          <w:rFonts w:ascii="Times New Roman" w:hAnsi="Times New Roman"/>
          <w:sz w:val="24"/>
          <w:szCs w:val="24"/>
          <w:lang w:val="en-US"/>
        </w:rPr>
        <w:t xml:space="preserve"> 2018 – </w:t>
      </w:r>
      <w:r>
        <w:rPr>
          <w:rFonts w:ascii="Times New Roman" w:hAnsi="Times New Roman"/>
          <w:sz w:val="24"/>
          <w:szCs w:val="24"/>
        </w:rPr>
        <w:t>конференция</w:t>
      </w:r>
      <w:r w:rsidRPr="00183C08">
        <w:rPr>
          <w:rFonts w:ascii="Times New Roman" w:hAnsi="Times New Roman"/>
          <w:sz w:val="24"/>
          <w:szCs w:val="24"/>
          <w:lang w:val="en-US"/>
        </w:rPr>
        <w:t xml:space="preserve"> ‘</w:t>
      </w:r>
      <w:r>
        <w:rPr>
          <w:rFonts w:ascii="Times New Roman" w:hAnsi="Times New Roman"/>
          <w:sz w:val="24"/>
          <w:szCs w:val="24"/>
          <w:lang w:val="en-US"/>
        </w:rPr>
        <w:t>Regimes and Societies in Conflict: Eastern Europe and Russia since 1956</w:t>
      </w:r>
      <w:r w:rsidRPr="00183C08">
        <w:rPr>
          <w:rFonts w:ascii="Times New Roman" w:hAnsi="Times New Roman"/>
          <w:sz w:val="24"/>
          <w:szCs w:val="24"/>
          <w:lang w:val="en-US"/>
        </w:rPr>
        <w:t xml:space="preserve">’, </w:t>
      </w:r>
      <w:r>
        <w:rPr>
          <w:rFonts w:ascii="Times New Roman" w:hAnsi="Times New Roman"/>
          <w:sz w:val="24"/>
          <w:szCs w:val="24"/>
          <w:lang w:val="sv-SE"/>
        </w:rPr>
        <w:t>Uppsala University</w:t>
      </w:r>
      <w:r>
        <w:rPr>
          <w:rFonts w:ascii="Times New Roman" w:hAnsi="Times New Roman"/>
          <w:sz w:val="24"/>
          <w:szCs w:val="24"/>
          <w:lang w:val="en-US"/>
        </w:rPr>
        <w:t xml:space="preserve">, The Institute for Russian and Eurasian Studies, </w:t>
      </w:r>
      <w:r w:rsidRPr="00183C08">
        <w:rPr>
          <w:rFonts w:ascii="Times New Roman" w:hAnsi="Times New Roman"/>
          <w:sz w:val="24"/>
          <w:szCs w:val="24"/>
          <w:lang w:val="en-US"/>
        </w:rPr>
        <w:t>Uppsala, Uppsala County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Доклад</w:t>
      </w:r>
      <w:r w:rsidRPr="00183C08">
        <w:rPr>
          <w:rFonts w:ascii="Times New Roman" w:hAnsi="Times New Roman"/>
          <w:sz w:val="24"/>
          <w:szCs w:val="24"/>
          <w:lang w:val="en-US"/>
        </w:rPr>
        <w:t>: “</w:t>
      </w:r>
      <w:r>
        <w:rPr>
          <w:rFonts w:ascii="Times New Roman" w:hAnsi="Times New Roman"/>
          <w:sz w:val="24"/>
          <w:szCs w:val="24"/>
          <w:lang w:val="en-US"/>
        </w:rPr>
        <w:t>Remembering Soviet Occupation in the Modern Northern Caucasus, the Case Study of Collective Memory in one Dagestani Village</w:t>
      </w:r>
      <w:r w:rsidRPr="00183C08">
        <w:rPr>
          <w:rFonts w:ascii="Times New Roman" w:hAnsi="Times New Roman"/>
          <w:sz w:val="24"/>
          <w:szCs w:val="24"/>
          <w:lang w:val="en-US"/>
        </w:rPr>
        <w:t>”</w:t>
      </w:r>
    </w:p>
    <w:p w:rsidR="004113AD" w:rsidRPr="00183C08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Ноябрь 2017 – Конференция “Проблемы идентичности в контексте мирового опыта”, Институт Антропологии и Этнографии, Российская Академия Наук, Москва. Доклад: “Память о Гражданской Войне (1917-1922) как ресурс для конструирования идентичности в селе Акуша, Республика Дагестан”. 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 2017 – Конференция “Большой Кавказ: Пространство взаимодействия цивилизаций и народов”, Южный Федеральный Университет, Ростов-на-Дону с докладом “Конструирование исторического знания в селе Акуша, Республика Дагестан”.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Полевая работа</w:t>
      </w:r>
    </w:p>
    <w:p w:rsidR="004113AD" w:rsidRDefault="000C68D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Июнь 2018 – полевая работа в Республике Дагестан (Махачкала, селение </w:t>
      </w:r>
      <w:proofErr w:type="spellStart"/>
      <w:r>
        <w:rPr>
          <w:rFonts w:ascii="Times New Roman" w:hAnsi="Times New Roman"/>
          <w:sz w:val="24"/>
          <w:szCs w:val="24"/>
        </w:rPr>
        <w:t>Салта</w:t>
      </w:r>
      <w:proofErr w:type="spellEnd"/>
      <w:r>
        <w:rPr>
          <w:rFonts w:ascii="Times New Roman" w:hAnsi="Times New Roman"/>
          <w:sz w:val="24"/>
          <w:szCs w:val="24"/>
        </w:rPr>
        <w:t>). Всего на данный момент собрано 54 интервью.</w:t>
      </w:r>
    </w:p>
    <w:p w:rsidR="004113AD" w:rsidRDefault="004113A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sectPr w:rsidR="004113A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DD" w:rsidRDefault="007C4CDD">
      <w:r>
        <w:separator/>
      </w:r>
    </w:p>
  </w:endnote>
  <w:endnote w:type="continuationSeparator" w:id="0">
    <w:p w:rsidR="007C4CDD" w:rsidRDefault="007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AD" w:rsidRDefault="004113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DD" w:rsidRDefault="007C4CDD">
      <w:r>
        <w:separator/>
      </w:r>
    </w:p>
  </w:footnote>
  <w:footnote w:type="continuationSeparator" w:id="0">
    <w:p w:rsidR="007C4CDD" w:rsidRDefault="007C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AD" w:rsidRDefault="004113A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D512B"/>
    <w:multiLevelType w:val="hybridMultilevel"/>
    <w:tmpl w:val="D5A488CA"/>
    <w:numStyleLink w:val="Numbered"/>
  </w:abstractNum>
  <w:abstractNum w:abstractNumId="1" w15:restartNumberingAfterBreak="0">
    <w:nsid w:val="6D2F6824"/>
    <w:multiLevelType w:val="hybridMultilevel"/>
    <w:tmpl w:val="D5A488CA"/>
    <w:styleLink w:val="Numbered"/>
    <w:lvl w:ilvl="0" w:tplc="2AF085A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80198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EEB0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EE46C8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6F93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EAA3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BB0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96A10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6EE4D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AD"/>
    <w:rsid w:val="000C68DB"/>
    <w:rsid w:val="00183C08"/>
    <w:rsid w:val="004113AD"/>
    <w:rsid w:val="0072478C"/>
    <w:rsid w:val="007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62E"/>
  <w15:docId w15:val="{DEED8CB5-9802-4916-A8D1-6513461C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2018-11-13T15:01:00Z</dcterms:created>
  <dcterms:modified xsi:type="dcterms:W3CDTF">2018-11-13T15:05:00Z</dcterms:modified>
</cp:coreProperties>
</file>